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3" w:rsidRDefault="007A03D3" w:rsidP="007A03D3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  <w:r w:rsidRPr="00586441">
        <w:rPr>
          <w:rFonts w:ascii="Sylfaen" w:eastAsia="Times New Roman" w:hAnsi="Sylfaen" w:cs="Sylfaen"/>
          <w:b/>
          <w:sz w:val="24"/>
          <w:szCs w:val="24"/>
          <w:lang w:val="ka-GE" w:eastAsia="x-none"/>
        </w:rPr>
        <w:t>ამხანაგობის წევრის წილი-ფინანსური ინსტრუმენტი</w:t>
      </w:r>
    </w:p>
    <w:p w:rsidR="007A03D3" w:rsidRPr="00586441" w:rsidRDefault="007A03D3" w:rsidP="007A03D3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</w:p>
    <w:p w:rsidR="007A03D3" w:rsidRPr="00D531A5" w:rsidRDefault="007A03D3" w:rsidP="007A03D3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კოდექსით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გათვალისწინებული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თანამფლობელობის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შემთხვევაში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წილი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თუ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მასზე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არის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მიმაგრებული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განპიროვნებული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ქონება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აგრეთვე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ქონებაზე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უფლების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წინასწარი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რეგისტრაციის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შემთხვევაში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უფლება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არის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ფინანსური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>ინსტრუმენტი</w:t>
      </w:r>
      <w:proofErr w:type="spellEnd"/>
      <w:r w:rsidRPr="00A34AB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</w:p>
    <w:p w:rsidR="007A03D3" w:rsidRPr="00D531A5" w:rsidRDefault="007A03D3" w:rsidP="007A03D3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  <w:r w:rsidRPr="00D531A5">
        <w:rPr>
          <w:rFonts w:ascii="Sylfaen" w:eastAsia="Times New Roman" w:hAnsi="Sylfaen" w:cs="Sylfaen"/>
          <w:b/>
          <w:sz w:val="24"/>
          <w:szCs w:val="24"/>
          <w:lang w:val="ka-GE" w:eastAsia="x-none"/>
        </w:rPr>
        <w:t>საშემოსავლო გადასახადისგან გათავისუფლება</w:t>
      </w:r>
    </w:p>
    <w:p w:rsidR="007A03D3" w:rsidRPr="00EC3C3E" w:rsidRDefault="007A03D3" w:rsidP="007A03D3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ყ)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მიერ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თავისი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წევრისთვის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თანამფლობელისთვის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გადაცემით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მიღებული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შემოსავალი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თუ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წევრები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მხოლოდ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ფიზიკური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პირები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არიან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წევრთა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შემადგენლობა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შეცვლილა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დაფუძნებიდან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გადაცემის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განაწილების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მომენტამდე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განაწილების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მომენტისათვის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არის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დამატებული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ღირებულების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გადამხდელი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ქვეპუნქტის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მიზნებისათვის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გარდაცვალებისას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მემკვიდრეზე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გადასვლა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„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სააღსრულებო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წარმოებათა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შესახებ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“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საქართველოს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კანონით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დადგენილი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წესით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რეალიზაცია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განიხილება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წევრთა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შემადგენლობის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ცვლილებად</w:t>
      </w:r>
      <w:proofErr w:type="spellEnd"/>
      <w:r w:rsidRPr="00BC635C">
        <w:rPr>
          <w:rFonts w:ascii="Sylfaen" w:eastAsia="Times New Roman" w:hAnsi="Sylfaen" w:cs="Sylfaen"/>
          <w:sz w:val="24"/>
          <w:szCs w:val="24"/>
          <w:lang w:val="x-none" w:eastAsia="x-none"/>
        </w:rPr>
        <w:t>;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  <w:r w:rsidRPr="00D531A5">
        <w:rPr>
          <w:rFonts w:ascii="Sylfaen" w:eastAsia="Times New Roman" w:hAnsi="Sylfaen" w:cs="Sylfaen"/>
          <w:b/>
          <w:sz w:val="24"/>
          <w:szCs w:val="24"/>
          <w:lang w:val="ka-GE" w:eastAsia="x-none"/>
        </w:rPr>
        <w:t>დღგ-ს გადამხდელად სავალდებულო რეგიტრაცია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561CCE">
        <w:rPr>
          <w:rFonts w:ascii="Sylfaen" w:hAnsi="Sylfaen" w:cs="Sylfaen"/>
          <w:sz w:val="24"/>
          <w:szCs w:val="24"/>
          <w:lang w:val="x-none" w:eastAsia="x-none"/>
        </w:rPr>
        <w:t xml:space="preserve">6.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დღგ-ის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გადამხდელი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პარტნიორისაგან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წევრისაგან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შენატანის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სახით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საქონლის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მომსახურების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შემთხვევაში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საწარმო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ვალდებულია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დღგ-ის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გადამხდელად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რეგისტრაციისათვის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მიმართოს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საგადასახადო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ორგანოს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დღგ-ით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დასაბეგრი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ოპერაციის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განხორციელებამდე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მაგრამ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შენატანის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განხორციელებიდან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არა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უგვიანეს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10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კალენდარული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დღისა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  <w:r w:rsidRPr="00D531A5">
        <w:rPr>
          <w:rFonts w:ascii="Sylfaen" w:eastAsia="Times New Roman" w:hAnsi="Sylfaen" w:cs="Sylfaen"/>
          <w:b/>
          <w:sz w:val="24"/>
          <w:szCs w:val="24"/>
          <w:lang w:val="ka-GE" w:eastAsia="x-none"/>
        </w:rPr>
        <w:t>წილის სანაცვლოდ ქონების მიწოდება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  <w:r w:rsidRPr="00D531A5">
        <w:rPr>
          <w:rFonts w:ascii="Sylfaen" w:eastAsia="Times New Roman" w:hAnsi="Sylfaen" w:cs="Sylfaen"/>
          <w:sz w:val="24"/>
          <w:szCs w:val="24"/>
          <w:lang w:val="ka-GE" w:eastAsia="x-none"/>
        </w:rPr>
        <w:t xml:space="preserve"> 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ე)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საწარმოდან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იდან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სანაცვლოდ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მომსახურების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საქონლის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ინდივიდუალურ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საკუთრებაში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შემთხვევაში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გამოტანა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რეგისტრაცია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ითვლება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მიერ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მიწოდებად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),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რომლის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დროსაც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: </w:t>
      </w:r>
    </w:p>
    <w:p w:rsidR="007A03D3" w:rsidRPr="00561CCE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561CCE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ე.ა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დასაბეგრი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ოპერაციის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თანხა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განისაზღვრება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საქონლის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/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მომსახურების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საბაზრო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ფასით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მოსაკრებლებისა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სხვა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გადასახდელების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ჩათვლით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დღგ-ის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გარეშე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;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ე.ბ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დასაბეგრი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ოპერაციის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განხორციელების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დროდ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ითვლება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მომსახურების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საქონლის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ინდივიდუალურ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საკუთრებაში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მიღების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მომენტი</w:t>
      </w:r>
      <w:proofErr w:type="spellEnd"/>
      <w:r w:rsidRPr="00561CCE">
        <w:rPr>
          <w:rFonts w:ascii="Sylfaen" w:eastAsia="Times New Roman" w:hAnsi="Sylfaen" w:cs="Sylfaen"/>
          <w:sz w:val="24"/>
          <w:szCs w:val="24"/>
          <w:lang w:val="x-none" w:eastAsia="x-none"/>
        </w:rPr>
        <w:t>;</w:t>
      </w:r>
    </w:p>
    <w:p w:rsidR="007A03D3" w:rsidRPr="00561CCE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  <w:r w:rsidRPr="00D531A5">
        <w:rPr>
          <w:rFonts w:ascii="Sylfaen" w:eastAsia="Times New Roman" w:hAnsi="Sylfaen" w:cs="Sylfaen"/>
          <w:b/>
          <w:sz w:val="24"/>
          <w:szCs w:val="24"/>
          <w:lang w:val="ka-GE" w:eastAsia="x-none"/>
        </w:rPr>
        <w:t>ამხანაგობის წევრის მიერ ქონების მიწოდება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ქონებაზე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წინასწარი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რეგისტრაციის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უფლების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მიწოდება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თუ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წილზე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უფლებაზე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არის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მიმაგრებული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განპიროვნებული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ქონება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გარდა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უფლების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სანაცვლოდ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ინდივიდუალურ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საკუთრებაში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მიღების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>შემთხვევისა</w:t>
      </w:r>
      <w:proofErr w:type="spellEnd"/>
      <w:r w:rsidRPr="00F07B0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; 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sz w:val="24"/>
          <w:szCs w:val="24"/>
          <w:lang w:val="ka-GE" w:eastAsia="x-none"/>
        </w:rPr>
      </w:pPr>
      <w:r w:rsidRPr="00D531A5">
        <w:rPr>
          <w:rFonts w:ascii="Sylfaen" w:eastAsia="Times New Roman" w:hAnsi="Sylfaen" w:cs="Sylfaen"/>
          <w:b/>
          <w:sz w:val="24"/>
          <w:szCs w:val="24"/>
          <w:lang w:val="ka-GE" w:eastAsia="x-none"/>
        </w:rPr>
        <w:t>შეღავათები დამატებული ღირებულების გადასახადში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მიერ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თავისი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წევრისთვის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თანამფლობელისთვის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მიწოდება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განაწილება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),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თუ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წევრები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არიან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მხოლოდ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ფიზიკური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პირები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წევრთა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შემადგენლობა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შეცვლილა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დაფუძნებიდან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ქონების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გადაცემის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განაწილების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მომენტამდე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განაწილების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მომენტისათვის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არის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დღგ-ის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გადამხდელი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ქვეპუნქტის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მიზნებისათვის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გარდაცვალებისას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მემკვიდრეზე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გადასვლა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„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სააღსრულებო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წარმოებათა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შესახებ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“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საქართველოს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კანონით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დადგენილი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წესით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რეალიზაცია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ითვლება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წევრთა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შემადგენლობის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ცვლილებად</w:t>
      </w:r>
      <w:proofErr w:type="spellEnd"/>
      <w:r w:rsidRPr="002825F1">
        <w:rPr>
          <w:rFonts w:ascii="Sylfaen" w:eastAsia="Times New Roman" w:hAnsi="Sylfaen" w:cs="Sylfaen"/>
          <w:sz w:val="24"/>
          <w:szCs w:val="24"/>
          <w:lang w:val="x-none" w:eastAsia="x-none"/>
        </w:rPr>
        <w:t>;</w:t>
      </w: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797B93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143-ე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მე-9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ნაწილისა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161-ე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პირველი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„ე“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ქვეპუნქტის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მარეგულირებელი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დებულებები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ვრცელდება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მხოლოდ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2009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წლის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7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აგვისტოდან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შექმნილ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აზე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2009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წლის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7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აგვისტომდე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შექმნილ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აზე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გავრცელდება</w:t>
      </w:r>
      <w:proofErr w:type="spellEnd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2009 </w:t>
      </w:r>
      <w:proofErr w:type="spellStart"/>
      <w:r w:rsidRPr="00797B93">
        <w:rPr>
          <w:rFonts w:ascii="Sylfaen" w:eastAsia="Times New Roman" w:hAnsi="Sylfaen" w:cs="Sylfaen"/>
          <w:sz w:val="24"/>
          <w:szCs w:val="24"/>
          <w:lang w:val="x-none" w:eastAsia="x-none"/>
        </w:rPr>
        <w:t>წლის</w:t>
      </w:r>
      <w:proofErr w:type="spellEnd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7 </w:t>
      </w:r>
      <w:proofErr w:type="spellStart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>აგვისტომდე</w:t>
      </w:r>
      <w:proofErr w:type="spellEnd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>მოქმედი</w:t>
      </w:r>
      <w:proofErr w:type="spellEnd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>ნორმები</w:t>
      </w:r>
      <w:proofErr w:type="spellEnd"/>
      <w:r w:rsidRPr="00D531A5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</w:p>
    <w:p w:rsidR="007A03D3" w:rsidRPr="002825F1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F07B0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561CCE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D531A5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BC635C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p w:rsidR="007A03D3" w:rsidRPr="003E1A6F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hAnsi="Sylfaen" w:cs="Sylfaen"/>
          <w:b/>
          <w:i/>
          <w:iCs/>
          <w:sz w:val="20"/>
          <w:szCs w:val="20"/>
          <w:lang w:val="x-none" w:eastAsia="x-none"/>
        </w:rPr>
      </w:pPr>
      <w:proofErr w:type="spellStart"/>
      <w:r w:rsidRPr="00907DB6">
        <w:rPr>
          <w:rFonts w:ascii="Sylfaen" w:eastAsia="Times New Roman" w:hAnsi="Sylfaen" w:cs="Sylfaen"/>
          <w:b/>
          <w:sz w:val="24"/>
          <w:szCs w:val="24"/>
          <w:lang w:val="x-none" w:eastAsia="x-none"/>
        </w:rPr>
        <w:t>მუხლი</w:t>
      </w:r>
      <w:proofErr w:type="spellEnd"/>
      <w:r w:rsidRPr="00907DB6">
        <w:rPr>
          <w:rFonts w:ascii="Sylfaen" w:eastAsia="Times New Roman" w:hAnsi="Sylfaen" w:cs="Sylfaen"/>
          <w:b/>
          <w:sz w:val="24"/>
          <w:szCs w:val="24"/>
          <w:lang w:val="x-none" w:eastAsia="x-none"/>
        </w:rPr>
        <w:t xml:space="preserve"> 143. </w:t>
      </w:r>
      <w:proofErr w:type="spellStart"/>
      <w:r w:rsidRPr="00907DB6">
        <w:rPr>
          <w:rFonts w:ascii="Sylfaen" w:eastAsia="Times New Roman" w:hAnsi="Sylfaen" w:cs="Sylfaen"/>
          <w:b/>
          <w:sz w:val="24"/>
          <w:szCs w:val="24"/>
          <w:lang w:val="x-none" w:eastAsia="x-none"/>
        </w:rPr>
        <w:t>თანამფლობელობა</w:t>
      </w:r>
      <w:proofErr w:type="spellEnd"/>
      <w:r w:rsidRPr="00907DB6">
        <w:rPr>
          <w:rFonts w:ascii="Sylfaen" w:eastAsia="Times New Roman" w:hAnsi="Sylfaen" w:cs="Sylfaen"/>
          <w:b/>
          <w:sz w:val="24"/>
          <w:szCs w:val="24"/>
          <w:lang w:val="x-none" w:eastAsia="x-none"/>
        </w:rPr>
        <w:t xml:space="preserve"> 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bookmarkStart w:id="0" w:name="_GoBack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ან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სხვა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მსგავსი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წარმონაქმნის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რომელიც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ეკონომიკურ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საქმიანობას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ახორციელებს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21-ე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პირველი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„გ“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ქვეპუნქტის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თანახმად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საწარმოდ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ითვლება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მოგების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დაბეგვრის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ობიექტი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განისაზღვრება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97-ე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პირველი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შესაბამისად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2.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ვალდებულია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იდან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მისთვის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მიკუთვნებული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მოგების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შემოსავალი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შეიტანოს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შესაბამისი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საანგარიშო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პერიოდის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ერთობლივ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შემოსავალში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3.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ვალდებულია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154-ე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შესაბამისად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გადახდის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წყაროსთან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დაბეგროს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საგადასახადო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ორგანოში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გადამხდელად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დაურეგისტრირებელი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ფიზიკური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პირისათვის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განაწილებული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შემოსავალი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4.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უფლება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აქვს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მე-3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შესაბამისად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მისთვის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გადახდის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წყაროსთან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დაკავებული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ჩაითვალოს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განმავლობაში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ერთობლივი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შემოსავლის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დაბეგვრისას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გადასახდელი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თანხაში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lastRenderedPageBreak/>
        <w:t xml:space="preserve">5.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ზარალი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მიეკუთვნება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მფლობელებს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მათი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შესაბამისად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ამასთანავე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ზარალი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მფლობელებზე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ნაწილდება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ერთობლივი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შემოსავლიდან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გამოიქვითება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6.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ზარალი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შეიძლება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გამოიქვითოს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მხოლოდ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აში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დასაბეგრი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მოგების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(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მომავალი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წლების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)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ხარჯზე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.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ზარალის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გადატანა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ხორციელდება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121-ე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მე-4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დადგენილი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წესით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7.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ზარალი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რომელიც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მიეკუთვნება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მფლობელის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მიერ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სხვა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აში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მონაწილეობის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შედეგად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მოგების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ხარჯზე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გამოიქვითება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8.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მიერ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მისი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წევრისათვის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სანაცვლოდ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საქონლის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მომსახურების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მიწოდება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საქონლის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მომსახურების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უსასყიდლოდ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მიწოდებად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ითვლება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9.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მე-2, მე-5, მე-6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მე-7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დებულებები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ვრცელდება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წევრზე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რომელიც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მოგების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გადასახადით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იბეგრება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97-ე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პირველი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მე-3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ნაწილებით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გათვალისწინებული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დაბეგვრის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ობიექტების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მიხედვით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907DB6" w:rsidRDefault="007A03D3" w:rsidP="007A03D3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x-none" w:eastAsia="x-none"/>
        </w:rPr>
      </w:pP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10.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ტურისტული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საწარმოს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მიერ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ფიზიკური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პირისაგან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შესაბამისი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ხელშეკრულების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საფუძველზე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სასტუმროს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აქტივების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მათი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მიღება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,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სასტუმრო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ნომრებად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/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აპარტამენტებად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გამოყენება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და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სასტუმროს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ფუნქციონირების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ორგანიზება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ამ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კოდექსის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21-ე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მუხლის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პირველი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ნაწილის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„გ“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ქვეპუნქტით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გათვალისწინებულ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EC3C3E">
        <w:rPr>
          <w:rFonts w:ascii="Sylfaen" w:eastAsia="Times New Roman" w:hAnsi="Sylfaen" w:cs="Sylfaen"/>
          <w:sz w:val="24"/>
          <w:szCs w:val="24"/>
          <w:lang w:val="x-none" w:eastAsia="x-none"/>
        </w:rPr>
        <w:t>ამხანაგობ</w:t>
      </w:r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ად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არ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 xml:space="preserve"> </w:t>
      </w:r>
      <w:proofErr w:type="spellStart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ითვლება</w:t>
      </w:r>
      <w:proofErr w:type="spellEnd"/>
      <w:r w:rsidRPr="00907DB6">
        <w:rPr>
          <w:rFonts w:ascii="Sylfaen" w:eastAsia="Times New Roman" w:hAnsi="Sylfaen" w:cs="Sylfaen"/>
          <w:sz w:val="24"/>
          <w:szCs w:val="24"/>
          <w:lang w:val="x-none" w:eastAsia="x-none"/>
        </w:rPr>
        <w:t>.</w:t>
      </w:r>
    </w:p>
    <w:p w:rsidR="007A03D3" w:rsidRPr="00EC3C3E" w:rsidRDefault="007A03D3" w:rsidP="007A03D3">
      <w:pPr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bookmarkEnd w:id="0"/>
    <w:p w:rsidR="00677A2F" w:rsidRPr="00EC3C3E" w:rsidRDefault="00677A2F" w:rsidP="007A03D3">
      <w:pPr>
        <w:rPr>
          <w:rFonts w:ascii="Sylfaen" w:eastAsia="Times New Roman" w:hAnsi="Sylfaen" w:cs="Sylfaen"/>
          <w:sz w:val="24"/>
          <w:szCs w:val="24"/>
          <w:lang w:val="x-none" w:eastAsia="x-none"/>
        </w:rPr>
      </w:pPr>
    </w:p>
    <w:sectPr w:rsidR="00677A2F" w:rsidRPr="00EC3C3E" w:rsidSect="00B43AD4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7"/>
    <w:rsid w:val="00021E1D"/>
    <w:rsid w:val="00070489"/>
    <w:rsid w:val="000B752D"/>
    <w:rsid w:val="000C2152"/>
    <w:rsid w:val="001010CF"/>
    <w:rsid w:val="001330F2"/>
    <w:rsid w:val="002F7488"/>
    <w:rsid w:val="00330054"/>
    <w:rsid w:val="003F6468"/>
    <w:rsid w:val="00447515"/>
    <w:rsid w:val="004903AC"/>
    <w:rsid w:val="004B0C58"/>
    <w:rsid w:val="004F4DD0"/>
    <w:rsid w:val="00541D8D"/>
    <w:rsid w:val="00677A2F"/>
    <w:rsid w:val="006B3377"/>
    <w:rsid w:val="006B6BE4"/>
    <w:rsid w:val="007100FB"/>
    <w:rsid w:val="00770E9B"/>
    <w:rsid w:val="00787ABA"/>
    <w:rsid w:val="00795F0B"/>
    <w:rsid w:val="007A03D3"/>
    <w:rsid w:val="007C388F"/>
    <w:rsid w:val="007D166B"/>
    <w:rsid w:val="007F5AB1"/>
    <w:rsid w:val="008129AD"/>
    <w:rsid w:val="0083603A"/>
    <w:rsid w:val="00857AA2"/>
    <w:rsid w:val="00916348"/>
    <w:rsid w:val="009B726B"/>
    <w:rsid w:val="00A0348A"/>
    <w:rsid w:val="00A2525F"/>
    <w:rsid w:val="00B25063"/>
    <w:rsid w:val="00B55106"/>
    <w:rsid w:val="00B95998"/>
    <w:rsid w:val="00C32C30"/>
    <w:rsid w:val="00CA1E1D"/>
    <w:rsid w:val="00D648C7"/>
    <w:rsid w:val="00D94DE5"/>
    <w:rsid w:val="00DE473C"/>
    <w:rsid w:val="00E05826"/>
    <w:rsid w:val="00E343AB"/>
    <w:rsid w:val="00E74BBD"/>
    <w:rsid w:val="00E84B44"/>
    <w:rsid w:val="00EA50E2"/>
    <w:rsid w:val="00EC3C3E"/>
    <w:rsid w:val="00EC4594"/>
    <w:rsid w:val="00EC7630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Admin2</cp:lastModifiedBy>
  <cp:revision>60</cp:revision>
  <dcterms:created xsi:type="dcterms:W3CDTF">2015-07-14T10:06:00Z</dcterms:created>
  <dcterms:modified xsi:type="dcterms:W3CDTF">2018-03-06T11:32:00Z</dcterms:modified>
</cp:coreProperties>
</file>